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55D" w:rsidRPr="00B95CB0" w:rsidRDefault="007C155D" w:rsidP="007C155D">
      <w:pPr>
        <w:pStyle w:val="norm"/>
        <w:spacing w:after="0" w:line="276" w:lineRule="auto"/>
        <w:ind w:firstLine="706"/>
        <w:jc w:val="center"/>
        <w:rPr>
          <w:rFonts w:ascii="GHEA Grapalat" w:hAnsi="GHEA Grapalat"/>
          <w:b/>
          <w:sz w:val="24"/>
          <w:szCs w:val="24"/>
          <w:lang w:val="hy-AM"/>
        </w:rPr>
      </w:pPr>
      <w:r w:rsidRPr="00B95CB0">
        <w:rPr>
          <w:rFonts w:ascii="GHEA Grapalat" w:hAnsi="GHEA Grapalat"/>
          <w:b/>
          <w:sz w:val="24"/>
          <w:szCs w:val="24"/>
          <w:lang w:val="hy-AM"/>
        </w:rPr>
        <w:t>Տեղեկանք</w:t>
      </w:r>
    </w:p>
    <w:p w:rsidR="007C155D" w:rsidRPr="00B95CB0" w:rsidRDefault="007C155D" w:rsidP="007C155D">
      <w:pPr>
        <w:pStyle w:val="norm"/>
        <w:spacing w:after="0" w:line="276" w:lineRule="auto"/>
        <w:ind w:firstLine="706"/>
        <w:jc w:val="center"/>
        <w:rPr>
          <w:rFonts w:ascii="GHEA Grapalat" w:hAnsi="GHEA Grapalat"/>
          <w:b/>
          <w:sz w:val="24"/>
          <w:szCs w:val="24"/>
          <w:lang w:val="hy-AM"/>
        </w:rPr>
      </w:pPr>
      <w:r w:rsidRPr="00B95CB0">
        <w:rPr>
          <w:rFonts w:ascii="GHEA Grapalat" w:hAnsi="GHEA Grapalat"/>
          <w:b/>
          <w:sz w:val="24"/>
          <w:szCs w:val="24"/>
          <w:lang w:val="hy-AM"/>
        </w:rPr>
        <w:t>«Սոցիալական փաթեթների ապահովում» (1015) ծրագրի «Պետական հիմնարկների և կազմակերպությունների աշխատողների սոցիալական փաթեթով ապահովում» (12001) միջոցառման գծով նախնական չափաքանակների վերաբերյալ</w:t>
      </w:r>
    </w:p>
    <w:p w:rsidR="007C155D" w:rsidRPr="007C155D" w:rsidRDefault="007C155D" w:rsidP="007C155D">
      <w:pPr>
        <w:pStyle w:val="norm"/>
        <w:spacing w:after="0" w:line="360" w:lineRule="auto"/>
        <w:ind w:firstLine="706"/>
        <w:jc w:val="center"/>
        <w:rPr>
          <w:rFonts w:ascii="GHEA Grapalat" w:hAnsi="GHEA Grapalat"/>
          <w:b/>
          <w:sz w:val="24"/>
          <w:szCs w:val="24"/>
          <w:lang w:val="hy-AM"/>
        </w:rPr>
      </w:pPr>
    </w:p>
    <w:p w:rsidR="007C155D" w:rsidRPr="007C155D" w:rsidRDefault="007C155D" w:rsidP="00860675">
      <w:pPr>
        <w:pStyle w:val="norm"/>
        <w:spacing w:after="0" w:line="360" w:lineRule="auto"/>
        <w:ind w:firstLine="900"/>
        <w:rPr>
          <w:rFonts w:ascii="GHEA Grapalat" w:hAnsi="GHEA Grapalat"/>
          <w:sz w:val="24"/>
          <w:szCs w:val="24"/>
          <w:lang w:val="hy-AM"/>
        </w:rPr>
      </w:pPr>
      <w:r w:rsidRPr="007C155D">
        <w:rPr>
          <w:rFonts w:ascii="GHEA Grapalat" w:hAnsi="GHEA Grapalat"/>
          <w:sz w:val="24"/>
          <w:szCs w:val="24"/>
          <w:lang w:val="hy-AM"/>
        </w:rPr>
        <w:t>Սոցիալական փաթեթների ապահովում» (1015) ծրագրի «Պետական հիմնարկների և կազմակերպությունների աշխատողների սոցիալական փաթեթով ապահովում» (12001) միջոցառման գծով 2020 և 2021 թթ. բյուջեներով նախատեսվել է 10,619,496.0 հազ. դրամ (147,493 շահառուի համար), իսկ 2022 թ. բյուջեով 9,949,828.4 հազ. դրամ (138192 շահառուի) համար։ Շահառուների թվաքանակի կրճատում 2022 թ.-ին 2021 թ. նկատմամբ չի եղել, ուղղակի 2022 թվականի ֆինանսավորումը հաստատվել է՝ հաշվի առնելով ծրագրի գծով 2020 թվականի փաստացի կատարողական ցուցանիշները։</w:t>
      </w:r>
    </w:p>
    <w:p w:rsidR="007C155D" w:rsidRPr="007C155D" w:rsidRDefault="007C155D" w:rsidP="00860675">
      <w:pPr>
        <w:pStyle w:val="norm"/>
        <w:spacing w:after="0" w:line="360" w:lineRule="auto"/>
        <w:ind w:firstLine="900"/>
        <w:rPr>
          <w:rFonts w:ascii="GHEA Grapalat" w:hAnsi="GHEA Grapalat"/>
          <w:sz w:val="24"/>
          <w:szCs w:val="24"/>
          <w:lang w:val="hy-AM"/>
        </w:rPr>
      </w:pPr>
      <w:r w:rsidRPr="007C155D">
        <w:rPr>
          <w:rFonts w:ascii="GHEA Grapalat" w:hAnsi="GHEA Grapalat"/>
          <w:sz w:val="24"/>
          <w:szCs w:val="24"/>
          <w:lang w:val="hy-AM"/>
        </w:rPr>
        <w:t>1015-12001 միջոցառման գծով ՀՀ 2023-2025 թթ. պետական միջնաժամկետ ծախսերի ծրագրի և ՀՀ 2023 թ. պետական բյուջեի նախագծերի մշակման շրջանակներում գրություններ են ուղարկվել միջոցառման կատարող համարվող շուրջ 58 հանրային իշխանության և տարածքային կառավարման մարմիններ՝ միջոցառման գծով վերջիններիս 2023-2025 թթ</w:t>
      </w:r>
      <w:r>
        <w:rPr>
          <w:rFonts w:ascii="GHEA Grapalat" w:hAnsi="GHEA Grapalat"/>
          <w:sz w:val="24"/>
          <w:szCs w:val="24"/>
          <w:lang w:val="hy-AM"/>
        </w:rPr>
        <w:t>.</w:t>
      </w:r>
      <w:r w:rsidRPr="007C155D">
        <w:rPr>
          <w:rFonts w:ascii="GHEA Grapalat" w:hAnsi="GHEA Grapalat"/>
          <w:sz w:val="24"/>
          <w:szCs w:val="24"/>
          <w:lang w:val="hy-AM"/>
        </w:rPr>
        <w:t xml:space="preserve"> հայտերը հավաքագրելու համար։ Հայտերը հավաքագրելու, ըստ անհրաժեշտության ներկայացնող մարմինների հետ դրանք ճշգրտելու և ամբողջ միջոցառման մասով ամփոփված տվյալներ ունենալու արդյունքում նոր պարզ է լինում միջոցառման մասով որքան շահառուի համար որքան գումար է հարկավոր լինելու։ Դեռևս ոչ բոլոր մարմինների կողմից են ներկայացվել իրենց հայտերը, հայտերի մի մասն էլ դեռևս ճշգրտման փուլում են։ Հարկ է հաշվի առնել, սակայն, որ ներկայացված հայտերի մասով նախնական վերլուծությունների համաձայն՝ մարմինների մեծ մասում կամ՛ կան թափուր հաստիքների համալրումներ, կա՛մ կառուցվածքային փոփոխությունների արդյունքում որոշակի հաստիքային </w:t>
      </w:r>
      <w:r w:rsidRPr="007C155D">
        <w:rPr>
          <w:rFonts w:ascii="GHEA Grapalat" w:hAnsi="GHEA Grapalat"/>
          <w:sz w:val="24"/>
          <w:szCs w:val="24"/>
          <w:lang w:val="hy-AM"/>
        </w:rPr>
        <w:lastRenderedPageBreak/>
        <w:t>միավորների ավելացումներ, կա՛մ արտաբյուջետային հաստիքներից բյուջետային հաստիքների տեղափոխված աշխատողներ, կա՛մ դպրոցներում կան ուսուցչի օգնականների հաստիքների զգալի միավորներով ավելացումներ։</w:t>
      </w:r>
    </w:p>
    <w:p w:rsidR="007C155D" w:rsidRPr="007C155D" w:rsidRDefault="007C155D" w:rsidP="00860675">
      <w:pPr>
        <w:pStyle w:val="norm"/>
        <w:spacing w:after="0" w:line="360" w:lineRule="auto"/>
        <w:ind w:firstLine="900"/>
        <w:rPr>
          <w:rFonts w:ascii="GHEA Grapalat" w:hAnsi="GHEA Grapalat"/>
          <w:sz w:val="24"/>
          <w:szCs w:val="24"/>
          <w:lang w:val="hy-AM"/>
        </w:rPr>
      </w:pPr>
      <w:r w:rsidRPr="007C155D">
        <w:rPr>
          <w:rFonts w:ascii="GHEA Grapalat" w:hAnsi="GHEA Grapalat"/>
          <w:sz w:val="24"/>
          <w:szCs w:val="24"/>
          <w:lang w:val="hy-AM"/>
        </w:rPr>
        <w:t>Մյուս կողմից, հարկ է անդրադառնալ նաև, 2021 թվականի հոկտեմբերի 30-ից հետո սոցփաթեթի հատկացման կարգում կատարված փոփոխություններին, համաձայն որոնց, օրինակ, հղիության և ծննդաբերության արձակուրդում գտնվող աշխատողների սոցփաթեթի իրավունքն այդ ժամանակահատվածում չի կասեցվելու, ինչպես նաև սոցփաթեթի շահառուները մեկ սոցփաթեթի կազմակերպությունից մեկ այլ սոցփաթեթի կազմակերպություն մեկ ամսվա ընթացքում տեղափոխվելիս՝ պահպանելու են իրենց սոցփաթեթից օգտվելու իրավունքը, իսկ սոցփաթեթի փոխանցումները հաջորդող ամսվանից շարունակ</w:t>
      </w:r>
      <w:r w:rsidR="00860675">
        <w:rPr>
          <w:rFonts w:ascii="GHEA Grapalat" w:hAnsi="GHEA Grapalat"/>
          <w:sz w:val="24"/>
          <w:szCs w:val="24"/>
          <w:lang w:val="hy-AM"/>
        </w:rPr>
        <w:t>վ</w:t>
      </w:r>
      <w:r w:rsidRPr="007C155D">
        <w:rPr>
          <w:rFonts w:ascii="GHEA Grapalat" w:hAnsi="GHEA Grapalat"/>
          <w:sz w:val="24"/>
          <w:szCs w:val="24"/>
          <w:lang w:val="hy-AM"/>
        </w:rPr>
        <w:t>ելու է նոր աշխատավայրի գործատուի միջոցով։</w:t>
      </w:r>
    </w:p>
    <w:p w:rsidR="007C155D" w:rsidRPr="007C155D" w:rsidRDefault="007C155D" w:rsidP="00860675">
      <w:pPr>
        <w:pStyle w:val="norm"/>
        <w:spacing w:after="0" w:line="360" w:lineRule="auto"/>
        <w:ind w:firstLine="900"/>
        <w:rPr>
          <w:rFonts w:ascii="GHEA Grapalat" w:hAnsi="GHEA Grapalat"/>
          <w:sz w:val="24"/>
          <w:szCs w:val="24"/>
          <w:lang w:val="hy-AM"/>
        </w:rPr>
      </w:pPr>
      <w:r w:rsidRPr="007C155D">
        <w:rPr>
          <w:rFonts w:ascii="GHEA Grapalat" w:hAnsi="GHEA Grapalat"/>
          <w:sz w:val="24"/>
          <w:szCs w:val="24"/>
          <w:lang w:val="hy-AM"/>
        </w:rPr>
        <w:t xml:space="preserve">Նշվածը հաշվի առնելով՝ ՀՀ 2023-2025 թթ. միջնաժամկետ ժամանակահատվածում, ներառյալ ՀՀ 2023 </w:t>
      </w:r>
      <w:r w:rsidR="00860675">
        <w:rPr>
          <w:rFonts w:ascii="GHEA Grapalat" w:hAnsi="GHEA Grapalat"/>
          <w:sz w:val="24"/>
          <w:szCs w:val="24"/>
          <w:lang w:val="hy-AM"/>
        </w:rPr>
        <w:t>թվականին</w:t>
      </w:r>
      <w:r w:rsidRPr="007C155D">
        <w:rPr>
          <w:rFonts w:ascii="GHEA Grapalat" w:hAnsi="GHEA Grapalat"/>
          <w:sz w:val="24"/>
          <w:szCs w:val="24"/>
          <w:lang w:val="hy-AM"/>
        </w:rPr>
        <w:t>՝ 1015-12001 միջոցառման գծով ծախսերը չեն կարող հաստատվել՝ հիմնվելով, օրինակ, 2021 թվականի փաստացի ցուցանիշների վրա, այլ հարկ է հաշվի առնել մարմինների կողմից՝ իրենց հաստիքային միավորների հիման վրա ներկայացված հայտերը։</w:t>
      </w:r>
    </w:p>
    <w:p w:rsidR="007C155D" w:rsidRPr="007C155D" w:rsidRDefault="007C155D" w:rsidP="00860675">
      <w:pPr>
        <w:pStyle w:val="norm"/>
        <w:spacing w:after="0" w:line="360" w:lineRule="auto"/>
        <w:ind w:firstLine="900"/>
        <w:rPr>
          <w:rFonts w:ascii="GHEA Grapalat" w:hAnsi="GHEA Grapalat"/>
          <w:sz w:val="24"/>
          <w:szCs w:val="24"/>
          <w:lang w:val="hy-AM"/>
        </w:rPr>
      </w:pPr>
      <w:r w:rsidRPr="007C155D">
        <w:rPr>
          <w:rFonts w:ascii="GHEA Grapalat" w:hAnsi="GHEA Grapalat"/>
          <w:sz w:val="24"/>
          <w:szCs w:val="24"/>
          <w:lang w:val="hy-AM"/>
        </w:rPr>
        <w:t xml:space="preserve">Ամփոփելով հարկ է նշել, որ նախնական հաշվարկներով </w:t>
      </w:r>
      <w:r w:rsidR="00860675">
        <w:rPr>
          <w:rFonts w:ascii="GHEA Grapalat" w:hAnsi="GHEA Grapalat"/>
          <w:sz w:val="24"/>
          <w:szCs w:val="24"/>
          <w:lang w:val="hy-AM"/>
        </w:rPr>
        <w:t>1015-12001 միջոցառման</w:t>
      </w:r>
      <w:r w:rsidRPr="007C155D">
        <w:rPr>
          <w:rFonts w:ascii="GHEA Grapalat" w:hAnsi="GHEA Grapalat"/>
          <w:sz w:val="24"/>
          <w:szCs w:val="24"/>
          <w:lang w:val="hy-AM"/>
        </w:rPr>
        <w:t xml:space="preserve"> գծով ծախսերը զգալի գերազանցելու են 2022 թվականի համար հաստատված </w:t>
      </w:r>
      <w:r w:rsidR="00860675">
        <w:rPr>
          <w:rFonts w:ascii="GHEA Grapalat" w:hAnsi="GHEA Grapalat"/>
          <w:sz w:val="24"/>
          <w:szCs w:val="24"/>
          <w:lang w:val="hy-AM"/>
        </w:rPr>
        <w:t>չափա</w:t>
      </w:r>
      <w:bookmarkStart w:id="0" w:name="_GoBack"/>
      <w:bookmarkEnd w:id="0"/>
      <w:r w:rsidRPr="007C155D">
        <w:rPr>
          <w:rFonts w:ascii="GHEA Grapalat" w:hAnsi="GHEA Grapalat"/>
          <w:sz w:val="24"/>
          <w:szCs w:val="24"/>
          <w:lang w:val="hy-AM"/>
        </w:rPr>
        <w:t>քանակները։ Կարծում ենք նաև, որ դրանք կարող են գերազանցել նաև 10,619,496.0 հազ. դրամ (147,493 շահառուի համար) ցուցանիշը։</w:t>
      </w:r>
    </w:p>
    <w:p w:rsidR="007C155D" w:rsidRPr="007C155D" w:rsidRDefault="007C155D" w:rsidP="007C155D">
      <w:pPr>
        <w:pStyle w:val="norm"/>
        <w:spacing w:after="0" w:line="360" w:lineRule="auto"/>
        <w:ind w:firstLine="706"/>
        <w:rPr>
          <w:rFonts w:ascii="GHEA Grapalat" w:hAnsi="GHEA Grapalat"/>
          <w:sz w:val="24"/>
          <w:szCs w:val="24"/>
          <w:lang w:val="hy-AM"/>
        </w:rPr>
      </w:pPr>
    </w:p>
    <w:p w:rsidR="007C155D" w:rsidRPr="007C155D" w:rsidRDefault="007C155D" w:rsidP="007C155D">
      <w:pPr>
        <w:pStyle w:val="norm"/>
        <w:spacing w:after="0" w:line="360" w:lineRule="auto"/>
        <w:ind w:firstLine="706"/>
        <w:rPr>
          <w:rFonts w:ascii="GHEA Grapalat" w:hAnsi="GHEA Grapalat"/>
          <w:b/>
          <w:sz w:val="24"/>
          <w:szCs w:val="24"/>
          <w:lang w:val="hy-AM"/>
        </w:rPr>
      </w:pPr>
    </w:p>
    <w:p w:rsidR="006F6539" w:rsidRPr="007C155D" w:rsidRDefault="00860675" w:rsidP="007C155D">
      <w:pPr>
        <w:spacing w:line="360" w:lineRule="auto"/>
        <w:rPr>
          <w:rFonts w:ascii="GHEA Grapalat" w:hAnsi="GHEA Grapalat"/>
          <w:lang w:val="hy-AM"/>
        </w:rPr>
      </w:pPr>
    </w:p>
    <w:sectPr w:rsidR="006F6539" w:rsidRPr="007C155D" w:rsidSect="00E178CF">
      <w:pgSz w:w="12240" w:h="15840"/>
      <w:pgMar w:top="13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B79"/>
    <w:rsid w:val="00254F6C"/>
    <w:rsid w:val="0039263C"/>
    <w:rsid w:val="003D5C94"/>
    <w:rsid w:val="003F63F1"/>
    <w:rsid w:val="004650B1"/>
    <w:rsid w:val="004B1BE3"/>
    <w:rsid w:val="00606B79"/>
    <w:rsid w:val="007C155D"/>
    <w:rsid w:val="00860675"/>
    <w:rsid w:val="00AA4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B24FE"/>
  <w15:chartTrackingRefBased/>
  <w15:docId w15:val="{BB9771E6-71CD-4BC2-AB27-16476A91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link w:val="normChar"/>
    <w:rsid w:val="007C155D"/>
    <w:pPr>
      <w:spacing w:after="20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ink w:val="norm"/>
    <w:locked/>
    <w:rsid w:val="007C155D"/>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2487</Characters>
  <Application>Microsoft Office Word</Application>
  <DocSecurity>0</DocSecurity>
  <Lines>20</Lines>
  <Paragraphs>5</Paragraphs>
  <ScaleCrop>false</ScaleCrop>
  <Company>HP</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Lusine.Harutyunyan</dc:creator>
  <cp:keywords/>
  <dc:description/>
  <cp:lastModifiedBy>Lusine.Harutyunyan</cp:lastModifiedBy>
  <cp:revision>3</cp:revision>
  <dcterms:created xsi:type="dcterms:W3CDTF">2022-02-28T06:08:00Z</dcterms:created>
  <dcterms:modified xsi:type="dcterms:W3CDTF">2022-02-28T06:10:00Z</dcterms:modified>
</cp:coreProperties>
</file>